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E2" w:rsidRPr="00A4276F" w:rsidRDefault="00CF10E2" w:rsidP="00CF10E2">
      <w:pPr>
        <w:widowControl/>
        <w:jc w:val="left"/>
        <w:rPr>
          <w:rFonts w:ascii="Times New Roman" w:eastAsia="黑体" w:hAnsi="Times New Roman"/>
          <w:kern w:val="0"/>
          <w:sz w:val="30"/>
          <w:szCs w:val="30"/>
        </w:rPr>
      </w:pPr>
      <w:r>
        <w:rPr>
          <w:rFonts w:ascii="Times New Roman" w:eastAsia="黑体" w:hAnsi="黑体"/>
          <w:kern w:val="0"/>
          <w:sz w:val="30"/>
          <w:szCs w:val="30"/>
        </w:rPr>
        <w:t>附件</w:t>
      </w:r>
      <w:r>
        <w:rPr>
          <w:rFonts w:ascii="Times New Roman" w:eastAsia="黑体" w:hAnsi="Times New Roman"/>
          <w:kern w:val="0"/>
          <w:sz w:val="30"/>
          <w:szCs w:val="30"/>
        </w:rPr>
        <w:t>2</w:t>
      </w:r>
      <w:r>
        <w:rPr>
          <w:rFonts w:ascii="Times New Roman" w:eastAsia="黑体" w:hAnsi="黑体"/>
          <w:kern w:val="0"/>
          <w:sz w:val="30"/>
          <w:szCs w:val="30"/>
        </w:rPr>
        <w:t>：</w:t>
      </w:r>
    </w:p>
    <w:p w:rsidR="00CF10E2" w:rsidRDefault="00CF10E2" w:rsidP="00CF10E2">
      <w:pPr>
        <w:jc w:val="center"/>
        <w:rPr>
          <w:rFonts w:ascii="方正小标宋_GBK" w:eastAsia="方正小标宋_GBK"/>
          <w:sz w:val="42"/>
          <w:szCs w:val="42"/>
        </w:rPr>
      </w:pPr>
      <w:r>
        <w:rPr>
          <w:rFonts w:ascii="方正小标宋_GBK" w:eastAsia="方正小标宋_GBK" w:hint="eastAsia"/>
          <w:sz w:val="42"/>
          <w:szCs w:val="42"/>
        </w:rPr>
        <w:t>2017年度全国文物艺术品拍卖专项统计</w:t>
      </w:r>
    </w:p>
    <w:p w:rsidR="00CF10E2" w:rsidRPr="00A4276F" w:rsidRDefault="00CF10E2" w:rsidP="00CF10E2">
      <w:pPr>
        <w:jc w:val="center"/>
        <w:rPr>
          <w:rFonts w:ascii="楷体_GB2312" w:eastAsia="楷体_GB2312"/>
          <w:b/>
          <w:sz w:val="40"/>
          <w:szCs w:val="40"/>
        </w:rPr>
      </w:pPr>
      <w:r>
        <w:rPr>
          <w:rFonts w:ascii="楷体_GB2312" w:eastAsia="楷体_GB2312" w:hint="eastAsia"/>
          <w:b/>
          <w:sz w:val="30"/>
          <w:szCs w:val="30"/>
        </w:rPr>
        <w:t>（网络填报模板）</w:t>
      </w:r>
    </w:p>
    <w:p w:rsidR="00CF10E2" w:rsidRDefault="00CF10E2" w:rsidP="00083D49">
      <w:pPr>
        <w:adjustRightInd w:val="0"/>
        <w:spacing w:beforeLines="100"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【特别提示】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本统计</w:t>
      </w:r>
      <w:proofErr w:type="gramEnd"/>
      <w:r>
        <w:rPr>
          <w:rFonts w:ascii="Times New Roman" w:hAnsi="Times New Roman"/>
          <w:sz w:val="30"/>
          <w:szCs w:val="30"/>
        </w:rPr>
        <w:t>工作系相关政府相关部门授权或委托，统计信息主要用于行业管理决策和《中国文物艺术品拍卖市场统计年报》等行业报告编制。企业如对相关统计项目的使用或发布持有意见，请在相应项目后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备注栏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中注明。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【填表说明】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．</w:t>
      </w:r>
      <w:proofErr w:type="gramStart"/>
      <w:r>
        <w:rPr>
          <w:rFonts w:ascii="Times New Roman" w:hAnsi="Times New Roman"/>
          <w:sz w:val="30"/>
          <w:szCs w:val="30"/>
        </w:rPr>
        <w:t>本统计</w:t>
      </w:r>
      <w:proofErr w:type="gramEnd"/>
      <w:r>
        <w:rPr>
          <w:rFonts w:ascii="Times New Roman" w:hAnsi="Times New Roman"/>
          <w:sz w:val="30"/>
          <w:szCs w:val="30"/>
        </w:rPr>
        <w:t>以具备独立法人资格的拍卖企业为单位，子公司及关联公司均应分别填报；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．企业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注册资本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为年度</w:t>
      </w:r>
      <w:r>
        <w:rPr>
          <w:rFonts w:ascii="Times New Roman" w:hAnsi="Times New Roman"/>
          <w:b/>
          <w:sz w:val="30"/>
          <w:szCs w:val="30"/>
        </w:rPr>
        <w:t>期末数</w:t>
      </w:r>
      <w:r>
        <w:rPr>
          <w:rFonts w:ascii="Times New Roman" w:hAnsi="Times New Roman"/>
          <w:sz w:val="30"/>
          <w:szCs w:val="30"/>
        </w:rPr>
        <w:t>；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 w:hint="eastAsia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员工人数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为年度</w:t>
      </w:r>
      <w:r>
        <w:rPr>
          <w:rFonts w:ascii="Times New Roman" w:hAnsi="Times New Roman"/>
          <w:b/>
          <w:sz w:val="30"/>
          <w:szCs w:val="30"/>
        </w:rPr>
        <w:t>期末数</w:t>
      </w:r>
      <w:r>
        <w:rPr>
          <w:rFonts w:ascii="Times New Roman" w:hAnsi="Times New Roman"/>
          <w:sz w:val="30"/>
          <w:szCs w:val="30"/>
        </w:rPr>
        <w:t>，以签订劳动合同为准（不含挂职的专家、顾问）；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4</w:t>
      </w:r>
      <w:r>
        <w:rPr>
          <w:rFonts w:ascii="Times New Roman" w:hAnsi="Times New Roman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拍卖会次数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以拍卖公告数量为准，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专场数量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则指每场拍卖会中设置的专场数量。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．当一个专场包含两个或以上类别时，如其中某一门类成交额占</w:t>
      </w:r>
      <w:r>
        <w:rPr>
          <w:rFonts w:ascii="Times New Roman" w:hAnsi="Times New Roman"/>
          <w:sz w:val="30"/>
          <w:szCs w:val="30"/>
        </w:rPr>
        <w:t>70%</w:t>
      </w:r>
      <w:r>
        <w:rPr>
          <w:rFonts w:ascii="Times New Roman" w:hAnsi="Times New Roman"/>
          <w:sz w:val="30"/>
          <w:szCs w:val="30"/>
        </w:rPr>
        <w:t>（含）以上，可全部归入此门类中（专场成交在</w:t>
      </w:r>
      <w:r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亿以上的除外），否则区分填报；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成交价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是指拍卖师以落槌等方式确认的竞买人的最高应价（成交价</w:t>
      </w:r>
      <w:r>
        <w:rPr>
          <w:rFonts w:ascii="Times New Roman" w:hAnsi="Times New Roman"/>
          <w:sz w:val="30"/>
          <w:szCs w:val="30"/>
        </w:rPr>
        <w:t>=</w:t>
      </w:r>
      <w:r>
        <w:rPr>
          <w:rFonts w:ascii="Times New Roman" w:hAnsi="Times New Roman"/>
          <w:sz w:val="30"/>
          <w:szCs w:val="30"/>
        </w:rPr>
        <w:t>落槌价）；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应收佣金总额（买方）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是指按竞买规则应当收取的买方佣金总额</w:t>
      </w:r>
      <w:r>
        <w:rPr>
          <w:rFonts w:ascii="Times New Roman" w:hAnsi="Times New Roman"/>
          <w:sz w:val="30"/>
          <w:szCs w:val="30"/>
        </w:rPr>
        <w:t xml:space="preserve">; 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 w:hint="eastAsia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实收拍品价款总额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和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实收佣金总额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是指截至</w:t>
      </w:r>
      <w:r>
        <w:rPr>
          <w:rFonts w:ascii="Times New Roman" w:hAnsi="Times New Roman"/>
          <w:b/>
          <w:sz w:val="30"/>
          <w:szCs w:val="30"/>
        </w:rPr>
        <w:t>填报日</w:t>
      </w:r>
      <w:r>
        <w:rPr>
          <w:rFonts w:ascii="Times New Roman" w:hAnsi="Times New Roman"/>
          <w:sz w:val="30"/>
          <w:szCs w:val="30"/>
        </w:rPr>
        <w:t>前，拍卖企业实际收到的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b/>
          <w:sz w:val="30"/>
          <w:szCs w:val="30"/>
        </w:rPr>
        <w:t>2017</w:t>
      </w:r>
      <w:r>
        <w:rPr>
          <w:rFonts w:ascii="Times New Roman" w:hAnsi="Times New Roman"/>
          <w:b/>
          <w:sz w:val="30"/>
          <w:szCs w:val="30"/>
        </w:rPr>
        <w:t>年度成交拍品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的货款和佣金；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企业年度效益</w:t>
      </w:r>
      <w:r>
        <w:rPr>
          <w:rFonts w:ascii="Times New Roman" w:hAnsi="Times New Roman"/>
          <w:sz w:val="30"/>
          <w:szCs w:val="30"/>
        </w:rPr>
        <w:t>”</w:t>
      </w:r>
      <w:proofErr w:type="gramStart"/>
      <w:r>
        <w:rPr>
          <w:rFonts w:ascii="Times New Roman" w:hAnsi="Times New Roman"/>
          <w:sz w:val="30"/>
          <w:szCs w:val="30"/>
        </w:rPr>
        <w:t>一栏按自然</w:t>
      </w:r>
      <w:proofErr w:type="gramEnd"/>
      <w:r>
        <w:rPr>
          <w:rFonts w:ascii="Times New Roman" w:hAnsi="Times New Roman"/>
          <w:sz w:val="30"/>
          <w:szCs w:val="30"/>
        </w:rPr>
        <w:t>年度计算，并仅限于文物艺术品拍卖业务，综合性拍卖企业须将资产等非文物艺术品拍卖业务剔除；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．企业有关纳税数据，均按</w:t>
      </w:r>
      <w:r>
        <w:rPr>
          <w:rFonts w:ascii="Times New Roman" w:hAnsi="Times New Roman"/>
          <w:b/>
          <w:sz w:val="30"/>
          <w:szCs w:val="30"/>
        </w:rPr>
        <w:t>所属期实缴数</w:t>
      </w:r>
      <w:r>
        <w:rPr>
          <w:rFonts w:ascii="Times New Roman" w:hAnsi="Times New Roman"/>
          <w:sz w:val="30"/>
          <w:szCs w:val="30"/>
        </w:rPr>
        <w:t>填写，上传缴税凭证</w:t>
      </w:r>
      <w:proofErr w:type="gramStart"/>
      <w:r>
        <w:rPr>
          <w:rFonts w:ascii="Times New Roman" w:hAnsi="Times New Roman"/>
          <w:sz w:val="30"/>
          <w:szCs w:val="30"/>
        </w:rPr>
        <w:t>须体现</w:t>
      </w:r>
      <w:proofErr w:type="gramEnd"/>
      <w:r>
        <w:rPr>
          <w:rFonts w:ascii="Times New Roman" w:hAnsi="Times New Roman"/>
          <w:sz w:val="30"/>
          <w:szCs w:val="30"/>
        </w:rPr>
        <w:t>税种及所属期；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>
        <w:rPr>
          <w:rFonts w:ascii="Times New Roman" w:hAnsi="Times New Roman"/>
          <w:sz w:val="30"/>
          <w:szCs w:val="30"/>
        </w:rPr>
        <w:t>．综合性拍卖企业在填写增值税后，须计算出其文物艺术品拍卖业务方面的创税额；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</w:t>
      </w:r>
      <w:r>
        <w:rPr>
          <w:rFonts w:ascii="Times New Roman" w:hAnsi="Times New Roman"/>
          <w:sz w:val="30"/>
          <w:szCs w:val="30"/>
        </w:rPr>
        <w:t>．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海外回流文物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以具有《文物临时进境审核登记表》为准；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CF10E2" w:rsidRDefault="00CF10E2" w:rsidP="00CF10E2">
      <w:pPr>
        <w:adjustRightInd w:val="0"/>
        <w:spacing w:line="360" w:lineRule="auto"/>
        <w:ind w:firstLineChars="200" w:firstLine="600"/>
        <w:rPr>
          <w:rFonts w:ascii="Times New Roman" w:hAnsi="Times New Roman"/>
          <w:szCs w:val="21"/>
        </w:rPr>
      </w:pPr>
      <w:r>
        <w:rPr>
          <w:rFonts w:ascii="Times New Roman" w:hAnsi="Times New Roman"/>
          <w:sz w:val="30"/>
          <w:szCs w:val="30"/>
        </w:rPr>
        <w:lastRenderedPageBreak/>
        <w:t>13</w:t>
      </w:r>
      <w:r>
        <w:rPr>
          <w:rFonts w:ascii="Times New Roman" w:hAnsi="Times New Roman"/>
          <w:sz w:val="30"/>
          <w:szCs w:val="30"/>
        </w:rPr>
        <w:t>．填报人在填报时，如有其他特殊情况，请在相应项目中的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备注栏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详细说明。</w:t>
      </w:r>
    </w:p>
    <w:p w:rsidR="00CF10E2" w:rsidRDefault="00CF10E2" w:rsidP="00CF10E2">
      <w:pPr>
        <w:snapToGrid w:val="0"/>
        <w:rPr>
          <w:sz w:val="15"/>
          <w:szCs w:val="15"/>
        </w:rPr>
        <w:sectPr w:rsidR="00CF10E2" w:rsidSect="00A4276F">
          <w:footerReference w:type="even" r:id="rId6"/>
          <w:footerReference w:type="default" r:id="rId7"/>
          <w:pgSz w:w="16838" w:h="11906" w:orient="landscape"/>
          <w:pgMar w:top="1797" w:right="1440" w:bottom="1797" w:left="1440" w:header="851" w:footer="1247" w:gutter="0"/>
          <w:pgNumType w:start="7"/>
          <w:cols w:space="425"/>
          <w:docGrid w:type="lines" w:linePitch="326"/>
        </w:sectPr>
      </w:pPr>
    </w:p>
    <w:p w:rsidR="00CF10E2" w:rsidRDefault="00CF10E2" w:rsidP="00CF10E2">
      <w:pPr>
        <w:snapToGrid w:val="0"/>
        <w:rPr>
          <w:sz w:val="15"/>
          <w:szCs w:val="15"/>
        </w:rPr>
      </w:pPr>
    </w:p>
    <w:p w:rsidR="00CF10E2" w:rsidRDefault="00CF10E2" w:rsidP="00CF10E2">
      <w:pPr>
        <w:snapToGrid w:val="0"/>
        <w:rPr>
          <w:sz w:val="10"/>
          <w:szCs w:val="10"/>
        </w:rPr>
      </w:pPr>
    </w:p>
    <w:p w:rsidR="00CF10E2" w:rsidRDefault="00CF10E2" w:rsidP="00CF10E2">
      <w:pPr>
        <w:snapToGrid w:val="0"/>
        <w:rPr>
          <w:sz w:val="10"/>
          <w:szCs w:val="10"/>
        </w:rPr>
      </w:pPr>
    </w:p>
    <w:tbl>
      <w:tblPr>
        <w:tblW w:w="15512" w:type="dxa"/>
        <w:jc w:val="center"/>
        <w:tblLayout w:type="fixed"/>
        <w:tblLook w:val="04A0"/>
      </w:tblPr>
      <w:tblGrid>
        <w:gridCol w:w="1199"/>
        <w:gridCol w:w="1920"/>
        <w:gridCol w:w="784"/>
        <w:gridCol w:w="910"/>
        <w:gridCol w:w="1013"/>
        <w:gridCol w:w="338"/>
        <w:gridCol w:w="1682"/>
        <w:gridCol w:w="2360"/>
        <w:gridCol w:w="960"/>
        <w:gridCol w:w="920"/>
        <w:gridCol w:w="1640"/>
        <w:gridCol w:w="946"/>
        <w:gridCol w:w="840"/>
      </w:tblGrid>
      <w:tr w:rsidR="00CF10E2" w:rsidTr="009A302E">
        <w:trPr>
          <w:trHeight w:val="767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企业名称：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                ]  </w:t>
            </w:r>
          </w:p>
        </w:tc>
      </w:tr>
      <w:tr w:rsidR="00CF10E2" w:rsidTr="009A302E">
        <w:trPr>
          <w:trHeight w:val="730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是否具备文物拍卖经营许可：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是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[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许可证号（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]  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CF10E2" w:rsidTr="009A302E">
        <w:trPr>
          <w:trHeight w:val="668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法人代表：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 ]  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注册资本：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     </w:t>
            </w:r>
          </w:p>
        </w:tc>
      </w:tr>
      <w:tr w:rsidR="00CF10E2" w:rsidTr="009A302E">
        <w:trPr>
          <w:trHeight w:val="835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员工总人数：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人，其中从事文物艺术品拍卖业务相关员工人数：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人。</w:t>
            </w:r>
          </w:p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（专一从事文物艺术品拍卖的企业前述员工人数应一致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综合性企业只需将从事资产类拍卖业务的人员减去即可）</w:t>
            </w:r>
          </w:p>
        </w:tc>
      </w:tr>
      <w:tr w:rsidR="00CF10E2" w:rsidTr="009A302E">
        <w:trPr>
          <w:trHeight w:val="831"/>
          <w:jc w:val="center"/>
        </w:trPr>
        <w:tc>
          <w:tcPr>
            <w:tcW w:w="3119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  <w:tl2br w:val="single" w:sz="2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分类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27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中国书画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油画及当代艺术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（油画、雕塑、装置、影像等）</w:t>
            </w:r>
          </w:p>
        </w:tc>
        <w:tc>
          <w:tcPr>
            <w:tcW w:w="236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瓷玉杂项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文物类的瓷器、玉器及竹木牙角雕、金属器、漆器、纺织品、家具、</w:t>
            </w:r>
            <w:proofErr w:type="gramStart"/>
            <w:r>
              <w:rPr>
                <w:rFonts w:ascii="宋体" w:cs="宋体" w:hint="eastAsia"/>
                <w:kern w:val="0"/>
                <w:sz w:val="20"/>
                <w:szCs w:val="20"/>
              </w:rPr>
              <w:t>紫砂茗具等杂项类拍品</w:t>
            </w:r>
            <w:proofErr w:type="gramEnd"/>
            <w:r>
              <w:rPr>
                <w:rFonts w:asci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古籍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碑帖</w:t>
            </w:r>
          </w:p>
        </w:tc>
        <w:tc>
          <w:tcPr>
            <w:tcW w:w="92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邮品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钱币</w:t>
            </w:r>
          </w:p>
        </w:tc>
        <w:tc>
          <w:tcPr>
            <w:tcW w:w="16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其他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宋体" w:cs="宋体" w:hint="eastAsia"/>
                <w:kern w:val="0"/>
                <w:sz w:val="20"/>
                <w:szCs w:val="20"/>
              </w:rPr>
              <w:t>当代类</w:t>
            </w:r>
            <w:proofErr w:type="gramEnd"/>
            <w:r>
              <w:rPr>
                <w:rFonts w:ascii="宋体" w:cs="宋体" w:hint="eastAsia"/>
                <w:kern w:val="0"/>
                <w:sz w:val="20"/>
                <w:szCs w:val="20"/>
              </w:rPr>
              <w:t>的珠宝、翡翠、玉石、工艺品，以及名表，名酒、名茶等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4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CF10E2" w:rsidTr="009A302E">
        <w:trPr>
          <w:trHeight w:val="958"/>
          <w:jc w:val="center"/>
        </w:trPr>
        <w:tc>
          <w:tcPr>
            <w:tcW w:w="3119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古代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近现代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当代</w:t>
            </w:r>
          </w:p>
        </w:tc>
        <w:tc>
          <w:tcPr>
            <w:tcW w:w="2020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CF10E2" w:rsidTr="009A302E">
        <w:trPr>
          <w:trHeight w:val="693"/>
          <w:jc w:val="center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拍卖会次数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[        ]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场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,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共计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[        ]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专场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CF10E2" w:rsidTr="009A302E">
        <w:trPr>
          <w:trHeight w:val="685"/>
          <w:jc w:val="center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上拍件数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（件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套）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712"/>
          <w:jc w:val="center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成交件数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（件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套）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694"/>
          <w:jc w:val="center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成交率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%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514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成交拍品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价格分布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（件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套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不含佣金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万以下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494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spacing w:val="-1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50</w:t>
            </w: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万（含）</w:t>
            </w: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-100</w:t>
            </w: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万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535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spacing w:val="-1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100</w:t>
            </w: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万（含）</w:t>
            </w: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-500</w:t>
            </w: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万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492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leftChars="-31" w:left="-23" w:rightChars="-71" w:right="-170" w:hangingChars="29" w:hanging="51"/>
              <w:jc w:val="left"/>
              <w:rPr>
                <w:rFonts w:ascii="宋体" w:cs="宋体"/>
                <w:spacing w:val="-12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spacing w:val="-12"/>
                <w:kern w:val="0"/>
                <w:sz w:val="20"/>
                <w:szCs w:val="20"/>
              </w:rPr>
              <w:t>500</w:t>
            </w:r>
            <w:r>
              <w:rPr>
                <w:rFonts w:ascii="宋体" w:cs="宋体" w:hint="eastAsia"/>
                <w:spacing w:val="-12"/>
                <w:kern w:val="0"/>
                <w:sz w:val="20"/>
                <w:szCs w:val="20"/>
              </w:rPr>
              <w:t>万（含）</w:t>
            </w:r>
            <w:r>
              <w:rPr>
                <w:rFonts w:ascii="宋体" w:cs="宋体" w:hint="eastAsia"/>
                <w:spacing w:val="-12"/>
                <w:kern w:val="0"/>
                <w:sz w:val="20"/>
                <w:szCs w:val="20"/>
              </w:rPr>
              <w:t>-1000</w:t>
            </w:r>
            <w:r>
              <w:rPr>
                <w:rFonts w:ascii="宋体" w:cs="宋体" w:hint="eastAsia"/>
                <w:spacing w:val="-12"/>
                <w:kern w:val="0"/>
                <w:sz w:val="20"/>
                <w:szCs w:val="20"/>
              </w:rPr>
              <w:t>万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562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leftChars="-31" w:left="-28" w:rightChars="-71" w:right="-170" w:hangingChars="29" w:hanging="46"/>
              <w:jc w:val="left"/>
              <w:rPr>
                <w:rFonts w:ascii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spacing w:val="-20"/>
                <w:kern w:val="0"/>
                <w:sz w:val="20"/>
                <w:szCs w:val="20"/>
              </w:rPr>
              <w:t>1000</w:t>
            </w:r>
            <w:r>
              <w:rPr>
                <w:rFonts w:ascii="宋体" w:cs="宋体" w:hint="eastAsia"/>
                <w:spacing w:val="-20"/>
                <w:kern w:val="0"/>
                <w:sz w:val="20"/>
                <w:szCs w:val="20"/>
              </w:rPr>
              <w:t>万（含）</w:t>
            </w:r>
            <w:r>
              <w:rPr>
                <w:rFonts w:ascii="宋体" w:cs="宋体" w:hint="eastAsia"/>
                <w:spacing w:val="-20"/>
                <w:kern w:val="0"/>
                <w:sz w:val="20"/>
                <w:szCs w:val="20"/>
              </w:rPr>
              <w:t>-5000</w:t>
            </w:r>
            <w:r>
              <w:rPr>
                <w:rFonts w:ascii="宋体" w:cs="宋体" w:hint="eastAsia"/>
                <w:spacing w:val="-20"/>
                <w:kern w:val="0"/>
                <w:sz w:val="20"/>
                <w:szCs w:val="20"/>
              </w:rPr>
              <w:t>万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542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spacing w:val="-1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5000</w:t>
            </w: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万（含）</w:t>
            </w: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-1</w:t>
            </w:r>
            <w:r>
              <w:rPr>
                <w:rFonts w:ascii="宋体" w:cs="宋体" w:hint="eastAsia"/>
                <w:spacing w:val="-10"/>
                <w:kern w:val="0"/>
                <w:sz w:val="20"/>
                <w:szCs w:val="20"/>
              </w:rPr>
              <w:t>亿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548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亿（含）以上</w:t>
            </w:r>
          </w:p>
        </w:tc>
        <w:tc>
          <w:tcPr>
            <w:tcW w:w="7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733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成交金额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总成交价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（不含佣金）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677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应收佣金总额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（买方）</w:t>
            </w:r>
          </w:p>
        </w:tc>
        <w:tc>
          <w:tcPr>
            <w:tcW w:w="7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0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9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743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结算情况</w:t>
            </w:r>
          </w:p>
          <w:p w:rsidR="00CF10E2" w:rsidRDefault="00CF10E2" w:rsidP="009A302E">
            <w:pPr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（即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年成交拍品到目前的结算情况</w:t>
            </w:r>
          </w:p>
          <w:p w:rsidR="00CF10E2" w:rsidRDefault="00CF10E2" w:rsidP="009A302E">
            <w:pPr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</w:p>
          <w:p w:rsidR="00CF10E2" w:rsidRDefault="00CF10E2" w:rsidP="009A302E">
            <w:pPr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50" w:firstLine="98"/>
              <w:rPr>
                <w:rFonts w:ascii="宋体" w:cs="宋体"/>
                <w:spacing w:val="-2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spacing w:val="-2"/>
                <w:kern w:val="0"/>
                <w:sz w:val="20"/>
                <w:szCs w:val="20"/>
              </w:rPr>
              <w:t>实收拍品价款总额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spacing w:val="-2"/>
                <w:kern w:val="0"/>
                <w:sz w:val="18"/>
                <w:szCs w:val="18"/>
              </w:rPr>
              <w:t>（不含佣金）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（即截至填报日前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,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年成交拍品”已完成结算的金额）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673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spacing w:val="-2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spacing w:val="-2"/>
                <w:kern w:val="0"/>
                <w:sz w:val="20"/>
                <w:szCs w:val="20"/>
              </w:rPr>
              <w:t>结算进度（率）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spacing w:val="-2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] %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= </w:t>
            </w:r>
            <w:r>
              <w:rPr>
                <w:rFonts w:ascii="宋体" w:cs="宋体" w:hint="eastAsia"/>
                <w:spacing w:val="-2"/>
                <w:kern w:val="0"/>
                <w:sz w:val="20"/>
                <w:szCs w:val="20"/>
              </w:rPr>
              <w:t>实收拍品价款总额（不含佣金）</w:t>
            </w:r>
            <w:r>
              <w:rPr>
                <w:rFonts w:ascii="宋体" w:cs="宋体" w:hint="eastAsia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总成交价</w:t>
            </w:r>
            <w:r>
              <w:rPr>
                <w:rFonts w:ascii="宋体" w:cs="宋体" w:hint="eastAsia"/>
                <w:spacing w:val="-2"/>
                <w:kern w:val="0"/>
                <w:sz w:val="20"/>
                <w:szCs w:val="20"/>
              </w:rPr>
              <w:t>（不含佣金）</w:t>
            </w:r>
            <w:r>
              <w:t>×</w:t>
            </w:r>
            <w:r>
              <w:t>100%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781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实收佣金总额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（买卖双方）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万元（即截至填报日前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,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年成交拍品”之实收佣金金额；不含图录、保险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保管等各类费用。）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907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实收佣金比例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（买卖双方）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] %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=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实收佣金总额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买卖双方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) / </w:t>
            </w:r>
            <w:r>
              <w:rPr>
                <w:rFonts w:ascii="宋体" w:cs="宋体" w:hint="eastAsia"/>
                <w:spacing w:val="-2"/>
                <w:kern w:val="0"/>
                <w:sz w:val="20"/>
                <w:szCs w:val="20"/>
              </w:rPr>
              <w:t>实收拍品价款总额（不含佣金）</w:t>
            </w:r>
            <w:r>
              <w:rPr>
                <w:rFonts w:ascii="宋体" w:cs="宋体" w:hint="eastAsia"/>
                <w:spacing w:val="-2"/>
                <w:kern w:val="0"/>
                <w:sz w:val="20"/>
                <w:szCs w:val="20"/>
              </w:rPr>
              <w:t xml:space="preserve"> </w:t>
            </w:r>
            <w:r>
              <w:t>×</w:t>
            </w:r>
            <w:r>
              <w:t>100%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620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企业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年度效益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（按自然年内填报，综合性企业须将资产拍卖剔除）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主营业务收入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（佣金收入）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（即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2017.1.1-2017.12.31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期间的佣金收入，含以往成交拍品在本年度内入账的佣金）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562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企业运营费用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=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销售费用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+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管理费用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+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财务费用等）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562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主营业务利润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=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主营业务收入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-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企业运营费用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/>
                <w:kern w:val="0"/>
                <w:sz w:val="20"/>
                <w:szCs w:val="20"/>
              </w:rPr>
              <w:t>–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税金及附加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637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主营业务利润率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]  %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=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主营业务利润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/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主营业务收入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t>×</w:t>
            </w:r>
            <w:r>
              <w:t>100%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548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费用利润率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]  %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=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主营业务利润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/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企业运营费用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t>×</w:t>
            </w:r>
            <w:r>
              <w:t>100%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513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人均创利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/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人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年度（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=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主营业务收入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/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文物艺术品拍卖相关员工人数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595"/>
          <w:jc w:val="center"/>
        </w:trPr>
        <w:tc>
          <w:tcPr>
            <w:tcW w:w="119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企业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增值税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税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11553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万元，其中文物艺术品拍卖业务创税额为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万元。（专一从事文物艺术品拍卖的企业前述税金应一致）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491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税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票</w:t>
            </w:r>
          </w:p>
        </w:tc>
        <w:tc>
          <w:tcPr>
            <w:tcW w:w="11553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【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*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点击上传以上增值税完税证明扫描件或照片】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502"/>
          <w:jc w:val="center"/>
        </w:trPr>
        <w:tc>
          <w:tcPr>
            <w:tcW w:w="1199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企业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所得税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 xml:space="preserve">                   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税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  <w:p w:rsidR="00CF10E2" w:rsidRDefault="00CF10E2" w:rsidP="009A302E">
            <w:pPr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521"/>
          <w:jc w:val="center"/>
        </w:trPr>
        <w:tc>
          <w:tcPr>
            <w:tcW w:w="1199" w:type="dxa"/>
            <w:vMerge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税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票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【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*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点击上传以上所得税完税证明扫描件或照片】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521"/>
          <w:jc w:val="center"/>
        </w:trPr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企业</w:t>
            </w:r>
          </w:p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创税总额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税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1155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=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营业税及附加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+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增值税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+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企业所得税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+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代扣代缴所得税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+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进口关税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+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其他税负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472"/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企业</w:t>
            </w:r>
          </w:p>
          <w:p w:rsidR="00CF10E2" w:rsidRDefault="00CF10E2" w:rsidP="009A302E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社会贡献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海外文物回流贡献</w:t>
            </w:r>
          </w:p>
          <w:p w:rsidR="00CF10E2" w:rsidRDefault="00CF10E2" w:rsidP="009A302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（此项可不填写）</w:t>
            </w: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上拍件数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件（套）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408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成交件数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件（套）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408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成交率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] %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=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成交件数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/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上拍件数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F10E2" w:rsidTr="009A302E">
        <w:trPr>
          <w:trHeight w:val="476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总成交价（不含佣金）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661"/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企业</w:t>
            </w:r>
          </w:p>
          <w:p w:rsidR="00CF10E2" w:rsidRDefault="00CF10E2" w:rsidP="009A302E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社会贡献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产业</w:t>
            </w:r>
            <w:proofErr w:type="gramStart"/>
            <w:r>
              <w:rPr>
                <w:rFonts w:ascii="宋体" w:cs="宋体" w:hint="eastAsia"/>
                <w:kern w:val="0"/>
                <w:sz w:val="20"/>
                <w:szCs w:val="20"/>
              </w:rPr>
              <w:t>链贡献</w:t>
            </w:r>
            <w:proofErr w:type="gramEnd"/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宣传广告支出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619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印刷出版支出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（含图录印刷及有关书籍的出版）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619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会展支出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（含布置、场地等）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619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邮递支出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（含图录快递、拍</w:t>
            </w:r>
            <w:proofErr w:type="gramStart"/>
            <w:r>
              <w:rPr>
                <w:rFonts w:ascii="宋体" w:cs="宋体" w:hint="eastAsia"/>
                <w:kern w:val="0"/>
                <w:sz w:val="20"/>
                <w:szCs w:val="20"/>
              </w:rPr>
              <w:t>品运输</w:t>
            </w:r>
            <w:proofErr w:type="gramEnd"/>
            <w:r>
              <w:rPr>
                <w:rFonts w:ascii="宋体" w:cs="宋体" w:hint="eastAsia"/>
                <w:kern w:val="0"/>
                <w:sz w:val="20"/>
                <w:szCs w:val="20"/>
              </w:rPr>
              <w:t>等）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619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保险支出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（向正规保险公司投付的保险费）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600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差旅支出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（含交通、住宿、餐饮等）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450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小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454"/>
          <w:jc w:val="center"/>
        </w:trPr>
        <w:tc>
          <w:tcPr>
            <w:tcW w:w="119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公益性贡献</w:t>
            </w: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慈善捐赠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（即直接性捐赠，含捐赠的现金、捐赠实物折合金额等，原则上以捐赠发票为准）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580"/>
          <w:jc w:val="center"/>
        </w:trPr>
        <w:tc>
          <w:tcPr>
            <w:tcW w:w="1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0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公益拍卖活动</w:t>
            </w:r>
          </w:p>
        </w:tc>
        <w:tc>
          <w:tcPr>
            <w:tcW w:w="850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场，属于各有关方捐献的成交额为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[           ]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万元（不含佣金）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CF10E2" w:rsidTr="009A302E">
        <w:trPr>
          <w:trHeight w:val="679"/>
          <w:jc w:val="center"/>
        </w:trPr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附表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3473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2017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年度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1000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万元以上拍</w:t>
            </w:r>
            <w:proofErr w:type="gramStart"/>
            <w:r>
              <w:rPr>
                <w:rFonts w:ascii="宋体" w:cs="宋体" w:hint="eastAsia"/>
                <w:kern w:val="0"/>
                <w:sz w:val="20"/>
                <w:szCs w:val="20"/>
              </w:rPr>
              <w:t>品信息</w:t>
            </w:r>
            <w:proofErr w:type="gramEnd"/>
            <w:r>
              <w:rPr>
                <w:rFonts w:ascii="宋体" w:cs="宋体" w:hint="eastAsia"/>
                <w:kern w:val="0"/>
                <w:sz w:val="20"/>
                <w:szCs w:val="20"/>
              </w:rPr>
              <w:t>表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【点击下载表格】【点击上传表格】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655"/>
          <w:jc w:val="center"/>
        </w:trPr>
        <w:tc>
          <w:tcPr>
            <w:tcW w:w="11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附表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3473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2017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年度客户违约信息表【点击下载表格】【点击上传表格】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</w:tr>
      <w:tr w:rsidR="00CF10E2" w:rsidTr="009A302E">
        <w:trPr>
          <w:trHeight w:val="637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企业授权填报人：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 ]        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填报人移动电话：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              ] </w:t>
            </w:r>
          </w:p>
        </w:tc>
      </w:tr>
      <w:tr w:rsidR="00CF10E2" w:rsidTr="009A302E">
        <w:trPr>
          <w:trHeight w:val="679"/>
          <w:jc w:val="center"/>
        </w:trPr>
        <w:tc>
          <w:tcPr>
            <w:tcW w:w="15512" w:type="dxa"/>
            <w:gridSpan w:val="1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10E2" w:rsidRDefault="00CF10E2" w:rsidP="009A302E">
            <w:pPr>
              <w:widowControl/>
              <w:ind w:firstLineChars="100" w:firstLine="2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通讯邮编：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] 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企业通讯电话：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             ]  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企业营业地址：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[                                                        ]               </w:t>
            </w:r>
          </w:p>
        </w:tc>
      </w:tr>
    </w:tbl>
    <w:p w:rsidR="00CF10E2" w:rsidRDefault="00CF10E2" w:rsidP="00083D49">
      <w:pPr>
        <w:spacing w:beforeLines="20"/>
        <w:ind w:leftChars="-63" w:left="167" w:hangingChars="106" w:hanging="318"/>
        <w:rPr>
          <w:rFonts w:ascii="Times New Roman" w:eastAsia="黑体" w:hAnsi="Times New Roman"/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rFonts w:ascii="Times New Roman" w:eastAsia="黑体" w:hAnsi="黑体"/>
          <w:sz w:val="30"/>
          <w:szCs w:val="30"/>
        </w:rPr>
        <w:lastRenderedPageBreak/>
        <w:t>附表</w:t>
      </w:r>
      <w:r>
        <w:rPr>
          <w:rFonts w:ascii="Times New Roman" w:eastAsia="黑体" w:hAnsi="Times New Roman"/>
          <w:sz w:val="30"/>
          <w:szCs w:val="30"/>
        </w:rPr>
        <w:t>1</w:t>
      </w:r>
      <w:r>
        <w:rPr>
          <w:rFonts w:ascii="Times New Roman" w:eastAsia="黑体" w:hAnsi="黑体"/>
          <w:sz w:val="30"/>
          <w:szCs w:val="30"/>
        </w:rPr>
        <w:t>：</w:t>
      </w:r>
    </w:p>
    <w:p w:rsidR="00CF10E2" w:rsidRDefault="00CF10E2" w:rsidP="00083D49">
      <w:pPr>
        <w:snapToGrid w:val="0"/>
        <w:spacing w:afterLines="100"/>
        <w:jc w:val="center"/>
        <w:rPr>
          <w:rFonts w:ascii="方正小标宋_GBK" w:eastAsia="方正小标宋_GBK"/>
          <w:sz w:val="42"/>
          <w:szCs w:val="42"/>
        </w:rPr>
      </w:pPr>
      <w:r>
        <w:rPr>
          <w:rFonts w:ascii="方正小标宋_GBK" w:eastAsia="方正小标宋_GBK" w:hint="eastAsia"/>
          <w:sz w:val="42"/>
          <w:szCs w:val="42"/>
        </w:rPr>
        <w:t>2017年度1000</w:t>
      </w:r>
      <w:bookmarkStart w:id="0" w:name="_GoBack"/>
      <w:bookmarkEnd w:id="0"/>
      <w:r>
        <w:rPr>
          <w:rFonts w:ascii="方正小标宋_GBK" w:eastAsia="方正小标宋_GBK" w:hint="eastAsia"/>
          <w:sz w:val="42"/>
          <w:szCs w:val="42"/>
        </w:rPr>
        <w:t>万元以上拍</w:t>
      </w:r>
      <w:proofErr w:type="gramStart"/>
      <w:r>
        <w:rPr>
          <w:rFonts w:ascii="方正小标宋_GBK" w:eastAsia="方正小标宋_GBK" w:hint="eastAsia"/>
          <w:sz w:val="42"/>
          <w:szCs w:val="42"/>
        </w:rPr>
        <w:t>品信息</w:t>
      </w:r>
      <w:proofErr w:type="gramEnd"/>
      <w:r>
        <w:rPr>
          <w:rFonts w:ascii="方正小标宋_GBK" w:eastAsia="方正小标宋_GBK" w:hint="eastAsia"/>
          <w:sz w:val="42"/>
          <w:szCs w:val="42"/>
        </w:rPr>
        <w:t>表</w:t>
      </w:r>
    </w:p>
    <w:tbl>
      <w:tblPr>
        <w:tblW w:w="14824" w:type="dxa"/>
        <w:jc w:val="center"/>
        <w:tblInd w:w="-29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200"/>
        <w:gridCol w:w="1613"/>
        <w:gridCol w:w="1331"/>
        <w:gridCol w:w="2906"/>
        <w:gridCol w:w="1853"/>
        <w:gridCol w:w="1785"/>
        <w:gridCol w:w="1894"/>
        <w:gridCol w:w="1365"/>
      </w:tblGrid>
      <w:tr w:rsidR="00CF10E2" w:rsidTr="009A302E">
        <w:trPr>
          <w:trHeight w:val="88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企业名称</w:t>
            </w:r>
          </w:p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（简称）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拍卖会及其</w:t>
            </w:r>
          </w:p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所属专场名称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拍品编号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 xml:space="preserve">拍品名称              </w:t>
            </w:r>
            <w:r>
              <w:rPr>
                <w:rFonts w:cs="宋体" w:hint="eastAsia"/>
                <w:kern w:val="0"/>
                <w:sz w:val="20"/>
                <w:szCs w:val="20"/>
              </w:rPr>
              <w:t>（含作者、年代/创作时间）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 xml:space="preserve">成交价            </w:t>
            </w:r>
            <w:r>
              <w:rPr>
                <w:rFonts w:cs="宋体" w:hint="eastAsia"/>
                <w:kern w:val="0"/>
                <w:sz w:val="20"/>
                <w:szCs w:val="20"/>
              </w:rPr>
              <w:t>（不含佣金/万元）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 xml:space="preserve">应收佣金额             </w:t>
            </w:r>
            <w:r>
              <w:rPr>
                <w:rFonts w:cs="宋体" w:hint="eastAsia"/>
                <w:kern w:val="0"/>
                <w:sz w:val="20"/>
                <w:szCs w:val="20"/>
              </w:rPr>
              <w:t>（买方/万元）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bCs/>
                <w:kern w:val="0"/>
                <w:sz w:val="22"/>
                <w:szCs w:val="22"/>
              </w:rPr>
              <w:t>拍品款结算</w:t>
            </w:r>
            <w:proofErr w:type="gramEnd"/>
            <w:r>
              <w:rPr>
                <w:rFonts w:cs="宋体" w:hint="eastAsia"/>
                <w:bCs/>
                <w:kern w:val="0"/>
                <w:sz w:val="22"/>
                <w:szCs w:val="22"/>
              </w:rPr>
              <w:t xml:space="preserve">进度                          </w:t>
            </w:r>
            <w:r>
              <w:rPr>
                <w:rFonts w:cs="宋体" w:hint="eastAsia"/>
                <w:kern w:val="0"/>
                <w:sz w:val="20"/>
                <w:szCs w:val="20"/>
              </w:rPr>
              <w:t>（截至填报日）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备注</w:t>
            </w:r>
          </w:p>
        </w:tc>
      </w:tr>
      <w:tr w:rsidR="00CF10E2" w:rsidTr="009A302E">
        <w:trPr>
          <w:trHeight w:val="834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○未结算                              ○结算中                             ○已结算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60" w:lineRule="exact"/>
              <w:jc w:val="left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 xml:space="preserve">　</w:t>
            </w:r>
          </w:p>
        </w:tc>
      </w:tr>
    </w:tbl>
    <w:p w:rsidR="00CF10E2" w:rsidRDefault="00CF10E2" w:rsidP="00083D49">
      <w:pPr>
        <w:spacing w:beforeLines="20"/>
        <w:ind w:leftChars="-200" w:left="-162" w:hangingChars="106" w:hanging="318"/>
        <w:rPr>
          <w:rFonts w:ascii="Times New Roman" w:eastAsia="黑体" w:hAnsi="黑体"/>
          <w:sz w:val="30"/>
          <w:szCs w:val="30"/>
        </w:rPr>
      </w:pPr>
    </w:p>
    <w:p w:rsidR="00CF10E2" w:rsidRDefault="00CF10E2" w:rsidP="00083D49">
      <w:pPr>
        <w:spacing w:beforeLines="20"/>
        <w:ind w:leftChars="-200" w:left="-162" w:hangingChars="106" w:hanging="318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黑体"/>
          <w:sz w:val="30"/>
          <w:szCs w:val="30"/>
        </w:rPr>
        <w:t>附表</w:t>
      </w:r>
      <w:r>
        <w:rPr>
          <w:rFonts w:ascii="Times New Roman" w:eastAsia="黑体" w:hAnsi="Times New Roman"/>
          <w:sz w:val="30"/>
          <w:szCs w:val="30"/>
        </w:rPr>
        <w:t>2</w:t>
      </w:r>
      <w:r>
        <w:rPr>
          <w:rFonts w:ascii="Times New Roman" w:eastAsia="黑体" w:hAnsi="黑体"/>
          <w:sz w:val="30"/>
          <w:szCs w:val="30"/>
        </w:rPr>
        <w:t>：</w:t>
      </w:r>
    </w:p>
    <w:p w:rsidR="00CF10E2" w:rsidRDefault="00CF10E2" w:rsidP="00083D49">
      <w:pPr>
        <w:snapToGrid w:val="0"/>
        <w:spacing w:afterLines="100"/>
        <w:jc w:val="center"/>
        <w:rPr>
          <w:rFonts w:ascii="方正小标宋_GBK" w:eastAsia="方正小标宋_GBK"/>
          <w:sz w:val="42"/>
          <w:szCs w:val="42"/>
        </w:rPr>
      </w:pPr>
      <w:r>
        <w:rPr>
          <w:rFonts w:ascii="方正小标宋_GBK" w:eastAsia="方正小标宋_GBK" w:hint="eastAsia"/>
          <w:sz w:val="42"/>
          <w:szCs w:val="42"/>
        </w:rPr>
        <w:t>2017年度客户违约信息表</w:t>
      </w:r>
    </w:p>
    <w:tbl>
      <w:tblPr>
        <w:tblW w:w="14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4"/>
        <w:gridCol w:w="1657"/>
        <w:gridCol w:w="1473"/>
        <w:gridCol w:w="1362"/>
        <w:gridCol w:w="3124"/>
        <w:gridCol w:w="4961"/>
        <w:gridCol w:w="1377"/>
      </w:tblGrid>
      <w:tr w:rsidR="00CF10E2" w:rsidTr="009A302E">
        <w:trPr>
          <w:trHeight w:val="722"/>
          <w:jc w:val="center"/>
        </w:trPr>
        <w:tc>
          <w:tcPr>
            <w:tcW w:w="924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黑体" w:eastAsia="黑体" w:cs="宋体"/>
                <w:bCs/>
                <w:kern w:val="0"/>
              </w:rPr>
            </w:pPr>
            <w:r>
              <w:rPr>
                <w:rFonts w:ascii="黑体" w:eastAsia="黑体" w:cs="宋体" w:hint="eastAsia"/>
                <w:bCs/>
                <w:kern w:val="0"/>
              </w:rPr>
              <w:t>序号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黑体" w:eastAsia="黑体" w:cs="宋体"/>
                <w:bCs/>
                <w:kern w:val="0"/>
              </w:rPr>
            </w:pPr>
            <w:r>
              <w:rPr>
                <w:rFonts w:ascii="黑体" w:eastAsia="黑体" w:cs="宋体" w:hint="eastAsia"/>
                <w:bCs/>
                <w:kern w:val="0"/>
              </w:rPr>
              <w:t>客户名称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黑体" w:eastAsia="黑体" w:cs="宋体"/>
                <w:bCs/>
                <w:kern w:val="0"/>
              </w:rPr>
            </w:pPr>
            <w:r>
              <w:rPr>
                <w:rFonts w:ascii="黑体" w:eastAsia="黑体" w:cs="宋体" w:hint="eastAsia"/>
                <w:bCs/>
                <w:kern w:val="0"/>
              </w:rPr>
              <w:t>证件类型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黑体" w:eastAsia="黑体" w:cs="宋体"/>
                <w:bCs/>
                <w:kern w:val="0"/>
              </w:rPr>
            </w:pPr>
            <w:r>
              <w:rPr>
                <w:rFonts w:ascii="黑体" w:eastAsia="黑体" w:cs="宋体" w:hint="eastAsia"/>
                <w:bCs/>
                <w:kern w:val="0"/>
              </w:rPr>
              <w:t>证件号码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黑体" w:eastAsia="黑体" w:cs="宋体"/>
                <w:bCs/>
                <w:kern w:val="0"/>
              </w:rPr>
            </w:pPr>
            <w:r>
              <w:rPr>
                <w:rFonts w:ascii="黑体" w:eastAsia="黑体" w:cs="宋体" w:hint="eastAsia"/>
                <w:bCs/>
                <w:kern w:val="0"/>
              </w:rPr>
              <w:t>违约事实描述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黑体" w:eastAsia="黑体" w:cs="宋体"/>
                <w:bCs/>
                <w:kern w:val="0"/>
              </w:rPr>
            </w:pPr>
            <w:r>
              <w:rPr>
                <w:rFonts w:ascii="黑体" w:eastAsia="黑体" w:cs="宋体" w:hint="eastAsia"/>
                <w:bCs/>
                <w:kern w:val="0"/>
              </w:rPr>
              <w:t>处理意愿</w:t>
            </w:r>
            <w:r>
              <w:rPr>
                <w:rFonts w:ascii="宋体" w:cs="宋体" w:hint="eastAsia"/>
                <w:bCs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center"/>
              <w:rPr>
                <w:rFonts w:ascii="黑体" w:eastAsia="黑体" w:cs="宋体"/>
                <w:bCs/>
                <w:kern w:val="0"/>
              </w:rPr>
            </w:pPr>
            <w:r>
              <w:rPr>
                <w:rFonts w:ascii="黑体" w:eastAsia="黑体" w:cs="宋体" w:hint="eastAsia"/>
                <w:bCs/>
                <w:kern w:val="0"/>
              </w:rPr>
              <w:t>备注</w:t>
            </w:r>
          </w:p>
        </w:tc>
      </w:tr>
      <w:tr w:rsidR="00CF10E2" w:rsidTr="009A302E">
        <w:trPr>
          <w:trHeight w:val="1247"/>
          <w:jc w:val="center"/>
        </w:trPr>
        <w:tc>
          <w:tcPr>
            <w:tcW w:w="924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 xml:space="preserve">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spacing w:line="280" w:lineRule="exac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仅限</w:t>
            </w:r>
            <w:proofErr w:type="gramStart"/>
            <w:r>
              <w:rPr>
                <w:rFonts w:ascii="宋体" w:cs="宋体" w:hint="eastAsia"/>
                <w:kern w:val="0"/>
                <w:sz w:val="20"/>
                <w:szCs w:val="20"/>
              </w:rPr>
              <w:t>中拍协备案</w:t>
            </w:r>
            <w:proofErr w:type="gramEnd"/>
          </w:p>
          <w:p w:rsidR="00CF10E2" w:rsidRDefault="00CF10E2" w:rsidP="009A302E"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授权</w:t>
            </w:r>
            <w:proofErr w:type="gramStart"/>
            <w:r>
              <w:rPr>
                <w:rFonts w:ascii="宋体" w:cs="宋体" w:hint="eastAsia"/>
                <w:kern w:val="0"/>
                <w:sz w:val="20"/>
                <w:szCs w:val="20"/>
              </w:rPr>
              <w:t>中拍协在</w:t>
            </w:r>
            <w:proofErr w:type="gramEnd"/>
            <w:r>
              <w:rPr>
                <w:rFonts w:ascii="宋体" w:cs="宋体" w:hint="eastAsia"/>
                <w:kern w:val="0"/>
                <w:sz w:val="20"/>
                <w:szCs w:val="20"/>
              </w:rPr>
              <w:t>艺委会范围内进行通报使用</w:t>
            </w:r>
          </w:p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授权</w:t>
            </w:r>
            <w:proofErr w:type="gramStart"/>
            <w:r>
              <w:rPr>
                <w:rFonts w:ascii="宋体" w:cs="宋体" w:hint="eastAsia"/>
                <w:kern w:val="0"/>
                <w:sz w:val="20"/>
                <w:szCs w:val="20"/>
              </w:rPr>
              <w:t>中拍协在</w:t>
            </w:r>
            <w:proofErr w:type="gramEnd"/>
            <w:r>
              <w:rPr>
                <w:rFonts w:ascii="宋体" w:cs="宋体" w:hint="eastAsia"/>
                <w:kern w:val="0"/>
                <w:sz w:val="20"/>
                <w:szCs w:val="20"/>
              </w:rPr>
              <w:t>全行业范围内进行通报使用</w:t>
            </w:r>
          </w:p>
          <w:p w:rsidR="00CF10E2" w:rsidRDefault="00CF10E2" w:rsidP="009A302E">
            <w:pPr>
              <w:widowControl/>
              <w:ind w:left="300" w:hangingChars="150" w:hanging="3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○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授权</w:t>
            </w:r>
            <w:proofErr w:type="gramStart"/>
            <w:r>
              <w:rPr>
                <w:rFonts w:ascii="宋体" w:cs="宋体" w:hint="eastAsia"/>
                <w:kern w:val="0"/>
                <w:sz w:val="20"/>
                <w:szCs w:val="20"/>
              </w:rPr>
              <w:t>中拍协向</w:t>
            </w:r>
            <w:proofErr w:type="gramEnd"/>
            <w:r>
              <w:rPr>
                <w:rFonts w:ascii="宋体" w:cs="宋体" w:hint="eastAsia"/>
                <w:kern w:val="0"/>
                <w:sz w:val="20"/>
                <w:szCs w:val="20"/>
              </w:rPr>
              <w:t>国家及社会有关诚信建设部门通报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F10E2" w:rsidRDefault="00CF10E2" w:rsidP="009A302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</w:tbl>
    <w:p w:rsidR="00601840" w:rsidRPr="00CF10E2" w:rsidRDefault="00601840"/>
    <w:sectPr w:rsidR="00601840" w:rsidRPr="00CF10E2" w:rsidSect="006B2F9D">
      <w:footerReference w:type="even" r:id="rId8"/>
      <w:footerReference w:type="default" r:id="rId9"/>
      <w:pgSz w:w="16838" w:h="11906" w:orient="landscape"/>
      <w:pgMar w:top="1797" w:right="1440" w:bottom="1797" w:left="1440" w:header="851" w:footer="1247" w:gutter="0"/>
      <w:pgNumType w:start="9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007" w:rsidRDefault="008C7007" w:rsidP="005C2B66">
      <w:r>
        <w:separator/>
      </w:r>
    </w:p>
  </w:endnote>
  <w:endnote w:type="continuationSeparator" w:id="0">
    <w:p w:rsidR="008C7007" w:rsidRDefault="008C7007" w:rsidP="005C2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6F" w:rsidRDefault="00CF10E2" w:rsidP="00A4276F">
    <w:pPr>
      <w:pStyle w:val="a3"/>
      <w:jc w:val="center"/>
      <w:rPr>
        <w:rFonts w:ascii="Times New Roman" w:hAnsi="Times New Roman"/>
        <w:spacing w:val="-10"/>
        <w:sz w:val="28"/>
        <w:szCs w:val="28"/>
      </w:rPr>
    </w:pPr>
    <w:r>
      <w:rPr>
        <w:rFonts w:ascii="Times New Roman" w:hAnsi="Times New Roman" w:hint="eastAsia"/>
        <w:spacing w:val="-10"/>
        <w:sz w:val="28"/>
        <w:szCs w:val="28"/>
      </w:rPr>
      <w:t>—</w:t>
    </w:r>
    <w:r>
      <w:rPr>
        <w:rFonts w:ascii="Times New Roman" w:hAnsi="Times New Roman" w:hint="eastAsia"/>
        <w:spacing w:val="-10"/>
        <w:sz w:val="28"/>
        <w:szCs w:val="28"/>
      </w:rPr>
      <w:t xml:space="preserve"> </w:t>
    </w:r>
    <w:r w:rsidR="005C2B66"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 w:rsidR="005C2B66">
      <w:rPr>
        <w:rFonts w:ascii="Times New Roman" w:hAnsi="Times New Roman"/>
        <w:spacing w:val="-10"/>
        <w:sz w:val="28"/>
        <w:szCs w:val="28"/>
      </w:rPr>
      <w:fldChar w:fldCharType="separate"/>
    </w:r>
    <w:r w:rsidRPr="00FC047B">
      <w:rPr>
        <w:rFonts w:ascii="Times New Roman" w:hAnsi="Times New Roman"/>
        <w:noProof/>
        <w:spacing w:val="-10"/>
        <w:sz w:val="28"/>
        <w:szCs w:val="28"/>
        <w:lang w:val="zh-CN"/>
      </w:rPr>
      <w:t>8</w:t>
    </w:r>
    <w:r w:rsidR="005C2B66"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ascii="Times New Roman" w:hAnsi="Times New Roman" w:hint="eastAsia"/>
        <w:spacing w:val="-10"/>
        <w:sz w:val="28"/>
        <w:szCs w:val="28"/>
      </w:rPr>
      <w:t xml:space="preserve"> </w:t>
    </w:r>
    <w:r>
      <w:rPr>
        <w:rFonts w:ascii="Times New Roman" w:hAnsi="Times New Roman" w:hint="eastAsia"/>
        <w:spacing w:val="-1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6F" w:rsidRDefault="00CF10E2" w:rsidP="00A4276F">
    <w:pPr>
      <w:pStyle w:val="a3"/>
      <w:wordWrap w:val="0"/>
      <w:jc w:val="center"/>
      <w:rPr>
        <w:rFonts w:ascii="Times New Roman" w:hAnsi="Times New Roman"/>
        <w:spacing w:val="-10"/>
        <w:sz w:val="28"/>
        <w:szCs w:val="28"/>
      </w:rPr>
    </w:pPr>
    <w:r>
      <w:rPr>
        <w:rFonts w:ascii="Times New Roman" w:hAnsi="Times New Roman" w:hint="eastAsia"/>
        <w:spacing w:val="-10"/>
        <w:sz w:val="28"/>
        <w:szCs w:val="28"/>
      </w:rPr>
      <w:t>—</w:t>
    </w:r>
    <w:r>
      <w:rPr>
        <w:rFonts w:ascii="Times New Roman" w:hAnsi="Times New Roman" w:hint="eastAsia"/>
        <w:spacing w:val="-10"/>
        <w:sz w:val="28"/>
        <w:szCs w:val="28"/>
      </w:rPr>
      <w:t xml:space="preserve"> </w:t>
    </w:r>
    <w:r w:rsidR="005C2B66"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 w:rsidR="005C2B66">
      <w:rPr>
        <w:rFonts w:ascii="Times New Roman" w:hAnsi="Times New Roman"/>
        <w:spacing w:val="-10"/>
        <w:sz w:val="28"/>
        <w:szCs w:val="28"/>
      </w:rPr>
      <w:fldChar w:fldCharType="separate"/>
    </w:r>
    <w:r w:rsidR="00083D49" w:rsidRPr="00083D49">
      <w:rPr>
        <w:rFonts w:ascii="Times New Roman" w:hAnsi="Times New Roman"/>
        <w:noProof/>
        <w:spacing w:val="-10"/>
        <w:sz w:val="28"/>
        <w:szCs w:val="28"/>
        <w:lang w:val="zh-CN"/>
      </w:rPr>
      <w:t>7</w:t>
    </w:r>
    <w:r w:rsidR="005C2B66"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ascii="Times New Roman" w:hAnsi="Times New Roman" w:hint="eastAsia"/>
        <w:spacing w:val="-10"/>
        <w:sz w:val="28"/>
        <w:szCs w:val="28"/>
      </w:rPr>
      <w:t xml:space="preserve"> </w:t>
    </w:r>
    <w:r>
      <w:rPr>
        <w:rFonts w:ascii="Times New Roman" w:hAnsi="Times New Roman" w:hint="eastAsia"/>
        <w:spacing w:val="-10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9D" w:rsidRDefault="00CF10E2">
    <w:pPr>
      <w:pStyle w:val="a3"/>
      <w:jc w:val="center"/>
      <w:rPr>
        <w:rFonts w:ascii="Times New Roman" w:hAnsi="Times New Roman"/>
        <w:spacing w:val="-10"/>
        <w:sz w:val="28"/>
        <w:szCs w:val="28"/>
      </w:rPr>
    </w:pPr>
    <w:r>
      <w:rPr>
        <w:rFonts w:ascii="Times New Roman" w:hAnsi="Times New Roman" w:hint="eastAsia"/>
        <w:spacing w:val="-10"/>
        <w:sz w:val="28"/>
        <w:szCs w:val="28"/>
      </w:rPr>
      <w:t>—</w:t>
    </w:r>
    <w:r>
      <w:rPr>
        <w:rFonts w:ascii="Times New Roman" w:hAnsi="Times New Roman" w:hint="eastAsia"/>
        <w:spacing w:val="-10"/>
        <w:sz w:val="28"/>
        <w:szCs w:val="28"/>
      </w:rPr>
      <w:t xml:space="preserve"> </w:t>
    </w:r>
    <w:r w:rsidR="005C2B66"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 w:rsidR="005C2B66">
      <w:rPr>
        <w:rFonts w:ascii="Times New Roman" w:hAnsi="Times New Roman"/>
        <w:spacing w:val="-10"/>
        <w:sz w:val="28"/>
        <w:szCs w:val="28"/>
      </w:rPr>
      <w:fldChar w:fldCharType="separate"/>
    </w:r>
    <w:r w:rsidRPr="00FC047B">
      <w:rPr>
        <w:rFonts w:ascii="Times New Roman" w:hAnsi="Times New Roman"/>
        <w:noProof/>
        <w:spacing w:val="-10"/>
        <w:sz w:val="28"/>
        <w:szCs w:val="28"/>
        <w:lang w:val="zh-CN"/>
      </w:rPr>
      <w:t>14</w:t>
    </w:r>
    <w:r w:rsidR="005C2B66"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ascii="Times New Roman" w:hAnsi="Times New Roman" w:hint="eastAsia"/>
        <w:spacing w:val="-10"/>
        <w:sz w:val="28"/>
        <w:szCs w:val="28"/>
      </w:rPr>
      <w:t xml:space="preserve"> </w:t>
    </w:r>
    <w:r>
      <w:rPr>
        <w:rFonts w:ascii="Times New Roman" w:hAnsi="Times New Roman" w:hint="eastAsia"/>
        <w:spacing w:val="-10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9D" w:rsidRDefault="00CF10E2">
    <w:pPr>
      <w:pStyle w:val="a3"/>
      <w:wordWrap w:val="0"/>
      <w:jc w:val="center"/>
      <w:rPr>
        <w:rFonts w:ascii="Times New Roman" w:hAnsi="Times New Roman"/>
        <w:spacing w:val="-10"/>
        <w:sz w:val="28"/>
        <w:szCs w:val="28"/>
      </w:rPr>
    </w:pPr>
    <w:r>
      <w:rPr>
        <w:rFonts w:ascii="Times New Roman" w:hAnsi="Times New Roman" w:hint="eastAsia"/>
        <w:spacing w:val="-10"/>
        <w:sz w:val="28"/>
        <w:szCs w:val="28"/>
      </w:rPr>
      <w:t>—</w:t>
    </w:r>
    <w:r>
      <w:rPr>
        <w:rFonts w:ascii="Times New Roman" w:hAnsi="Times New Roman" w:hint="eastAsia"/>
        <w:spacing w:val="-10"/>
        <w:sz w:val="28"/>
        <w:szCs w:val="28"/>
      </w:rPr>
      <w:t xml:space="preserve"> </w:t>
    </w:r>
    <w:r w:rsidR="005C2B66"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 w:rsidR="005C2B66">
      <w:rPr>
        <w:rFonts w:ascii="Times New Roman" w:hAnsi="Times New Roman"/>
        <w:spacing w:val="-10"/>
        <w:sz w:val="28"/>
        <w:szCs w:val="28"/>
      </w:rPr>
      <w:fldChar w:fldCharType="separate"/>
    </w:r>
    <w:r w:rsidR="00083D49" w:rsidRPr="00083D49">
      <w:rPr>
        <w:rFonts w:ascii="Times New Roman" w:hAnsi="Times New Roman"/>
        <w:noProof/>
        <w:spacing w:val="-10"/>
        <w:sz w:val="28"/>
        <w:szCs w:val="28"/>
        <w:lang w:val="zh-CN"/>
      </w:rPr>
      <w:t>14</w:t>
    </w:r>
    <w:r w:rsidR="005C2B66"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ascii="Times New Roman" w:hAnsi="Times New Roman" w:hint="eastAsia"/>
        <w:spacing w:val="-10"/>
        <w:sz w:val="28"/>
        <w:szCs w:val="28"/>
      </w:rPr>
      <w:t xml:space="preserve"> </w:t>
    </w:r>
    <w:r>
      <w:rPr>
        <w:rFonts w:ascii="Times New Roman" w:hAnsi="Times New Roman" w:hint="eastAsia"/>
        <w:spacing w:val="-10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007" w:rsidRDefault="008C7007" w:rsidP="005C2B66">
      <w:r>
        <w:separator/>
      </w:r>
    </w:p>
  </w:footnote>
  <w:footnote w:type="continuationSeparator" w:id="0">
    <w:p w:rsidR="008C7007" w:rsidRDefault="008C7007" w:rsidP="005C2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0E2"/>
    <w:rsid w:val="00083D49"/>
    <w:rsid w:val="00496189"/>
    <w:rsid w:val="005C2B66"/>
    <w:rsid w:val="00601840"/>
    <w:rsid w:val="008C7007"/>
    <w:rsid w:val="00BF0498"/>
    <w:rsid w:val="00CF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E2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1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F10E2"/>
    <w:rPr>
      <w:rFonts w:ascii="仿宋_GB2312" w:eastAsia="仿宋_GB2312" w:hAnsi="宋体" w:cs="Times New Roman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83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83D49"/>
    <w:rPr>
      <w:rFonts w:ascii="仿宋_GB2312" w:eastAsia="仿宋_GB2312" w:hAnsi="宋体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Sky123.Org</cp:lastModifiedBy>
  <cp:revision>2</cp:revision>
  <dcterms:created xsi:type="dcterms:W3CDTF">2018-05-09T21:11:00Z</dcterms:created>
  <dcterms:modified xsi:type="dcterms:W3CDTF">2018-05-09T21:11:00Z</dcterms:modified>
</cp:coreProperties>
</file>